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Офтальмология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Офтальмология | Записей: 1 | Кейс: 2 | Вопросов: 12</w:t>
      </w:r>
    </w:p>
    <w:p>
      <w:r>
        <w:br w:type="page"/>
      </w:r>
    </w:p>
    <w:p>
      <w:pPr>
        <w:pStyle w:val="Heading1"/>
      </w:pPr>
      <w:r>
        <w:t>Офтальмология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Офтальмология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в возрасте 41 года обратился к врачу-офтальмологу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снижение зрения на обоих глазах в течение 2-х недель. На правом глазу больше выражено снижение зрения. Головные боли, головокружение.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Около 3-х недель назад получил травму глаза в быту в виде ударов по лицу и голове, не обращался за медицинской помощью.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Пациент злоупотребляет алкоголем. Находился на принудительном лечении 2 недели назад.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OU: Придаточный аппарат без особенностей. Положение глаз правильное. Движения глазных яблок в полном объеме, конвергенция сохранена.</w:t>
      </w:r>
    </w:p>
    <w:p>
      <w:pPr>
        <w:spacing w:after="58"/>
      </w:pPr>
      <w:r>
        <w:rPr>
          <w:b w:val="0"/>
          <w:i w:val="0"/>
        </w:rPr>
        <w:t>При биомикроскопии: конъюнктива не изменена, роговица и влага передней камеры (средней глубины) прозрачны, радужка структурна, зрачковые фотореакции сохранены, хрусталик склерозирован.</w:t>
      </w:r>
    </w:p>
    <w:p>
      <w:pPr>
        <w:spacing w:after="58"/>
      </w:pPr>
      <w:r>
        <w:rPr>
          <w:b w:val="0"/>
          <w:i w:val="0"/>
        </w:rPr>
        <w:t>При офтальмоскопии в условиях медикаментозного мидриаза: диск зрительного нерва проминирует в стекловидное тело, отечный, контуры стушеваны, множественные геморрагии по ходу сосудистых аркад и юкстапапиллярно в виде мазков.</w:t>
      </w:r>
    </w:p>
    <w:p>
      <w:pPr>
        <w:spacing w:after="58"/>
      </w:pPr>
      <w:r>
        <w:rPr>
          <w:b w:val="0"/>
          <w:i w:val="0"/>
        </w:rPr>
        <w:t>Visus OD = 0,1 не корригирует.</w:t>
      </w:r>
    </w:p>
    <w:p>
      <w:pPr>
        <w:spacing w:after="58"/>
      </w:pPr>
      <w:r>
        <w:rPr>
          <w:b w:val="0"/>
          <w:i w:val="0"/>
        </w:rPr>
        <w:t>Visus OS = 0,4 sph 0,5 cyl 0 ax 0 с корр. 0,5.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Данному пациенту после перенесенной травмы для исключения разрывов внутренних оболочек глаза в обязательном порядке необходимо произвести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определение уровня внутриглазного давления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биометрию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гониоскопию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кератометрию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определение уровня внутриглазного давления</w:t>
      </w:r>
    </w:p>
    <w:p>
      <w:pPr>
        <w:ind w:left="504"/>
      </w:pPr>
      <w:r>
        <w:rPr>
          <w:b w:val="0"/>
          <w:i/>
        </w:rPr>
        <w:t>Рекомендуется определение уровня ВГД всем пациентам как контактным, так и бесконтактным методами с целью выявления гипертензии и гипотонии.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  <w:t>Раздел 2.2. Физикальное обследование.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В качестве дополнительного метода исследования данному пациенту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тест Ширмера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компьютерную периметрию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пахиметрию на Шаймпфлюг-камере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исследование диаметра роговицы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компьютерную периметрию</w:t>
      </w:r>
    </w:p>
    <w:p>
      <w:pPr>
        <w:ind w:left="504"/>
      </w:pPr>
      <w:r>
        <w:rPr>
          <w:b w:val="0"/>
          <w:i/>
        </w:rPr>
        <w:t>Рекомендуется проведение периметрии всем пациентам с целью анализа функционального состояния сетчатки и зрительного нерва.</w:t>
        <w:br/>
        <w:br/>
        <w:t>Комментарии: Исследование поля зрения в составе комплексного обследования позволяет оценить выраженность уровня повреждения, а также функциональное состояние сетчатки и зрительного нерва. Во всех случаях отсутствия поля зрения показано исследование энтоптического феномена механофосфена (МФ).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  <w:t>Раздел 2.2 Физикальное обследование.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определения состояния внутриглазных сред, сетчатки, сосудистой оболочки, положения хрусталика данному пациенту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ультразвуковое исследование глазного яблока в В-режиме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критическую частоту слияния мельканий (ГЦ)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кератометрию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электроретинографию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ультразвуковое исследование глазного яблока в В-режиме</w:t>
      </w:r>
    </w:p>
    <w:p>
      <w:pPr>
        <w:ind w:left="504"/>
      </w:pPr>
      <w:r>
        <w:rPr>
          <w:b w:val="0"/>
          <w:i/>
        </w:rPr>
        <w:t>Рекомендуется всем пациентам с ЗТГ проведение УЗИ (ультразвуковое исследование глазного яблока) в случаях недостаточной прозрачности оптических сред с целью определения состояния внутриглазных сред, сетчатки, сосудистой оболочки, оценить степень гемофтальма, определить положение хрусталика или ИОЛ.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  <w:t>Раздел 2.4 Инструментальные диагностические исследования.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оценки степени поражения сетчатки и зрительного нерва данному пациенту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флюоресцентную ангиографию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конфокальную микроскопию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цветовое доплеровское картирование сосудов глаза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оптическую когерентную томографию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оптическую когерентную томографию</w:t>
      </w:r>
    </w:p>
    <w:p>
      <w:pPr>
        <w:ind w:left="504"/>
      </w:pPr>
      <w:r>
        <w:rPr>
          <w:b w:val="0"/>
          <w:i/>
        </w:rPr>
        <w:t>Рекомендуется проведение исследования переднего отдела глаза с помощью компьютерного анализатора (оптическая когерентная томография, далее ОКТ.) всем пациентам с ЗТГ при прозрачных средах с целью диагностики и подтверждения субретинального кровоизлияния, отека сетчатки, макулярного разрыва с определением его размеров.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  <w:t>Раздел 2.4 Инструментальные диагностические исследования.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По данным анамнеза, характера полученной ранее травмы, для решения вопроса о тактике лечения данного пациента необходима совместная консультация с врачом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кардиологом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эндокринологом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педиатром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неврологом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неврологом</w:t>
      </w:r>
    </w:p>
    <w:p>
      <w:pPr>
        <w:ind w:left="504"/>
      </w:pPr>
      <w:r>
        <w:rPr>
          <w:b w:val="0"/>
          <w:i/>
        </w:rPr>
        <w:t>При обнаружении ранений других областей может возникнуть необходимость в консультации травматолога, хирурга, невролога.</w:t>
        <w:br/>
        <w:br/>
        <w:t>Офтальмология / Аветисова С. Э. , Егорова Е. А. , Мошетовой Л. К. , Нероева В. В. , Тахчиди Х. П. - Москва : ГЭОТАР-Медиа, 2018. - 904 с. (Серия "Национальные руководства") - ISBN 978-5-9704-4449-8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С целью исключения повреждения костных стенок, зрительного нерва, а также повреждения фиброзной оболочки в заднем полюсе данному пациенту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реоэнцефалографию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рентгенографию органов грудной клетки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компьютерную томографию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ангиографию брахиоцефальных артерий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компьютерную томографию</w:t>
      </w:r>
    </w:p>
    <w:p>
      <w:pPr>
        <w:ind w:left="504"/>
      </w:pPr>
      <w:r>
        <w:rPr>
          <w:b w:val="0"/>
          <w:i/>
        </w:rPr>
        <w:t>Рекомендуется проведение компьютерной томографии (КТ) всем пациентам с ЗТГ с целью исключения повреждения костных стенок, зрительного нерва, а также повреждения фиброзной оболочки в заднем полюсе на предмет «немого» разрыва склеры пациентам с ЗТГ типа А и D.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  <w:t>Раздел 2.4 Инструментальные диагностические исследования.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данной клинической ситуации на основании полученных результатов пациенту можно поставить диагноз OU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H48.8 Оптическая нейропатия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H47.1 Передняя ишемическая нейропатия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H34.8 Окклюзия артерий сетчатки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H34.8 Тромбоз вен сетчатки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H48.8 Оптическая нейропатия</w:t>
      </w:r>
    </w:p>
    <w:p>
      <w:pPr>
        <w:ind w:left="504"/>
      </w:pPr>
      <w:r>
        <w:rPr>
          <w:b w:val="0"/>
          <w:i/>
        </w:rPr>
        <w:t>Травматическая нейрооптикопатия (оптическая нейропатия) – это травматическое повреждение зрительного нерва.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целях своевременного оказания медицинской помощи и стабилизации зрительных функций у данного пациента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курс физиотерапевтического лечения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курс консервативного лечения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плановую реконструктивную хирургию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срочное хирургическое вмешательство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курс консервативного лечения</w:t>
      </w:r>
    </w:p>
    <w:p>
      <w:pPr>
        <w:ind w:left="504"/>
      </w:pPr>
      <w:r>
        <w:rPr>
          <w:b w:val="0"/>
          <w:i/>
        </w:rPr>
        <w:t>Рекомендуется назначение консервативной терапии всем пациентам при всех типах ЗТГ после госпитализации с целью купирования воспалительного процесса и восстановления функций.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  <w:t>Раздел 3.1 Консервативное лечение.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контроля состояния зрительного нерва и сетчатки пациентам с закрытой травмой глаза рекомендовано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диспансерное наблюдение в течение 3-6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лазерного лечения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плановое хирургическое вмешательство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санаторно-курортное лечение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диспансерное наблюдение в течение 3-6 месяцев</w:t>
      </w:r>
    </w:p>
    <w:p>
      <w:pPr>
        <w:ind w:left="504"/>
      </w:pPr>
      <w:r>
        <w:rPr>
          <w:b w:val="0"/>
          <w:i/>
        </w:rPr>
        <w:t>Рекомендуется пациентам с ЗТГ 3, 4, 5 степени тяжести – диспансерное наблюдение в течение 3-6 месяцев; курсы комплексной терапии с целью профилактики атрофии зрительного нерва и прогрессирования дистрофических процессов в сетчатке и хориоидее [9].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  <w:t>Раздел 4. Медицинская реабилитация, медицинские показания и противопоказания к применению методов реабилитации.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профилактики прогрессирования дистрофических процессов в сетчатке и хориоидее пациентам с закрытой травмой глаза необходимо проходить курсы _____ 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антиоксидантной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комплексной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антибактериальной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ферментной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комплексной</w:t>
      </w:r>
    </w:p>
    <w:p>
      <w:pPr>
        <w:ind w:left="504"/>
      </w:pPr>
      <w:r>
        <w:rPr>
          <w:b w:val="0"/>
          <w:i/>
        </w:rPr>
        <w:t>Рекомендуется пациентам с ЗТГ 3, 4, 5 степени тяжести – диспансерное наблюдение в течение 3-6 месяцев; курсы комплексной терапии с целью профилактики атрофии зрительного нерва и прогрессирования дистрофических процессов в сетчатке и хориоидее [9].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  <w:t>Раздел 4. Медицинская реабилитация, медицинские показания и противопоказания к применению методов реабилитации.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связи с поражением волокон зрительного нерва исходом заболевания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формирование друз диска зрительного нерва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частичная атрофия зрительного нерва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вторичная глаукома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вторичная катаракта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частичная атрофия зрительного нерва</w:t>
      </w:r>
    </w:p>
    <w:p>
      <w:pPr>
        <w:ind w:left="504"/>
      </w:pPr>
      <w:r>
        <w:rPr>
          <w:b w:val="0"/>
          <w:i/>
        </w:rPr>
        <w:t>Рекомендуется пациентам с ЗТГ 3, 4, 5 степени тяжести – диспансерное наблюдение в течение 3-6 месяцев; курсы комплексной терапии с целью профилактики атрофии зрительного нерва и прогрессирования дистрофических процессов в сетчатке и хориоидеи [9].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  <w:t>Раздел 5 5. Профилактика и диспансерное наблюдение, медицинские показания и противопоказания к применению методов профилактики.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целях купирования посттравматической офтальмогипертензии пациентам с закрытой травмой глаза рекомендовано проведение _____ 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противовоспалительной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гипотензивной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антирабической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восстановительной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гипотензивной</w:t>
      </w:r>
    </w:p>
    <w:p>
      <w:pPr>
        <w:ind w:left="504"/>
      </w:pPr>
      <w:r>
        <w:rPr>
          <w:b w:val="0"/>
          <w:i/>
        </w:rPr>
        <w:t>Рекомендуется гипотензивная терапия пациентам с ЗТГ типа А и D с целью купирования посттравматической офтальмогипертензии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Травма глаза закрытая, 2021 г.</w:t>
        </w:r>
      </w:hyperlink>
      <w:r>
        <w:rPr>
          <w:b w:val="0"/>
          <w:i/>
        </w:rPr>
        <w:br/>
        <w:br/>
        <w:t>Раздел 3.1 Консервативное лечение.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103/" TargetMode="External"/><Relationship Id="rId10" Type="http://schemas.openxmlformats.org/officeDocument/2006/relationships/hyperlink" Target="https://library.mededtech.ru/rest/documents/KP103/#list_item_0q4574" TargetMode="External"/><Relationship Id="rId11" Type="http://schemas.openxmlformats.org/officeDocument/2006/relationships/hyperlink" Target="https://library.mededtech.ru/rest/documents/KP103/#list_item_l4d0rq" TargetMode="External"/><Relationship Id="rId12" Type="http://schemas.openxmlformats.org/officeDocument/2006/relationships/hyperlink" Target="https://library.mededtech.ru/rest/documents/KP103/#list_item_atug1t" TargetMode="External"/><Relationship Id="rId13" Type="http://schemas.openxmlformats.org/officeDocument/2006/relationships/hyperlink" Target="https://library.mededtech.ru/rest/documents/KP103/#list_item_3tklfs" TargetMode="External"/><Relationship Id="rId14" Type="http://schemas.openxmlformats.org/officeDocument/2006/relationships/hyperlink" Target="https://library.mededtech.ru/rest/documents/ISBN9785970444498/?anchor=paragraph_e08k8l#paragraph_e08k8l" TargetMode="External"/><Relationship Id="rId15" Type="http://schemas.openxmlformats.org/officeDocument/2006/relationships/hyperlink" Target="https://library.mededtech.ru/rest/documents/KP103/#list_item_8s71d3" TargetMode="External"/><Relationship Id="rId16" Type="http://schemas.openxmlformats.org/officeDocument/2006/relationships/hyperlink" Target="https://library.mededtech.ru/rest/documents/KP103/#paragraph_425k3i" TargetMode="External"/><Relationship Id="rId17" Type="http://schemas.openxmlformats.org/officeDocument/2006/relationships/hyperlink" Target="https://library.mededtech.ru/rest/documents/KP103/#paragraph_re34jb" TargetMode="External"/><Relationship Id="rId18" Type="http://schemas.openxmlformats.org/officeDocument/2006/relationships/hyperlink" Target="https://library.mededtech.ru/rest/documents/KP103/#list_item_n6j4gm" TargetMode="External"/><Relationship Id="rId19" Type="http://schemas.openxmlformats.org/officeDocument/2006/relationships/hyperlink" Target="https://library.mededtech.ru/rest/documents/KP103/#list_item_mbg9p9" TargetMode="External"/><Relationship Id="rId20" Type="http://schemas.openxmlformats.org/officeDocument/2006/relationships/hyperlink" Target="https://library.mededtech.ru/rest/documents/KP103/index.html#list_item_mbg9p9" TargetMode="External"/><Relationship Id="rId21" Type="http://schemas.openxmlformats.org/officeDocument/2006/relationships/hyperlink" Target="https://library.mededtech.ru/rest/documents/KP103/#list_item_f5i35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